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2" w:rsidRPr="007A5BB2" w:rsidRDefault="007A5BB2" w:rsidP="007A5BB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A5BB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Зарплаты </w:t>
      </w:r>
      <w:proofErr w:type="gramStart"/>
      <w:r w:rsidRPr="007A5BB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намерены</w:t>
      </w:r>
      <w:proofErr w:type="gramEnd"/>
      <w:r w:rsidRPr="007A5BB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расти выше инфляции: работодатели готовы повышать их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>В этом году большинство компаний на российском рынке труда планируют повышать зарплаты своим сотрудникам в целом или точечно — несмотря на рост жалоб на ситуацию в экономике. В случае индексации средний размер прибавки составит 4,5%, при дифференцированном повышении — 5,6%. Максимальные показатели роста зарплат ожидаются в электронной коммерции, минимальные — в горнодобывающей отрасли. В целом в 2019 году баланс факторов в экономике складывается скорее в сторону роста оплаты труда и реальных доходов наемных сотрудников.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Большинство компаний, работающих на рынке РФ, в 2019 году планируют повышение зарплаты своих сотрудников, следует из данных опроса компании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Korn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Ferry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. Подавляющее число опрошенных (70%) продолжат политику дифференцированного повышения зарплат, общую индексацию проведут 12,5% компаний (в основном из автомобильного сектора и сектора товаров повседневного спроса), 5,3% компаний не планируют повышать зарплаты своим сотрудникам вообще. Максимальные показатели роста зарплат ожидаются в сфере электронной коммерции (11,6%),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hi-tech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(7,6%) и химии (6,5%), минимальные — в горнодобывающей отрасли (4,3%) и банковской сфере (5,4%).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>По данным исследования, планируемая индексация зарплат в среднем составит 4,5% для всех категорий сотрудников. В случае дифференцированного повышения увеличение в среднем достигнет 5,6%, при этом на максимальную прибавку могут рассчитывать руководители среднего звена и специалисты, на минимальную — высшее руководство.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Схожий прогноз на 2019 год дает и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рекрутинговый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портал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HeadHunter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— увеличивать оклады компании планируют чаще для специалистов и ведущих специалистов (38%), для начинающих это намерены сделать 26% компаний, для руководителей и </w:t>
      </w:r>
      <w:proofErr w:type="spellStart"/>
      <w:proofErr w:type="gram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топ-менеджеров</w:t>
      </w:r>
      <w:proofErr w:type="spellEnd"/>
      <w:proofErr w:type="gram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— 19% и 18% соответственно. В среднем увеличение окладов для </w:t>
      </w:r>
      <w:proofErr w:type="gram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специалистов</w:t>
      </w:r>
      <w:proofErr w:type="gram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/ведущих специалистов и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топ-менеджеров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произойдет на 8%, для линейных руководителей и начинающих специалистов — на 7%.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>В этом году 82% компаний планируют выплатить бонусы своим сотрудникам по результатам финансового года (в прошлом году в аналогичный период 81% компаний были уверены в выплате бонусов). Так же как и в прошлом году порядка 45% компаний выплатят бонусы на запланированном уровне, 20% — выше запланированного и 18% — ниже запланированного. Также 82% компаний сообщили, что произвели (планируют произвести) выплаты по программам краткосрочного поощрения в соответствии с политикой по результатам 2018 финансового года. Всего 1,3% компаний планируют отменять льготы, а некоторые планируют какие-то льготы добавить (16,3%) или оптимизировать (22,2%). Традиционно изменения могут коснуться ДМС, программ обучения и развития, компенсаций командировок, фитнеса, питания и использования автомобилей для сотрудников.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Хотя число компаний, на которых текущая экономическая ситуация отражается негативно (52% в 2017 году, 37% в 2018-м, 54% — в 2019-м), вновь выросла, на российском рынке в этом году не предвидится массовых сокращений. Только 8,5% компаний отметили эту задачу, </w:t>
      </w:r>
      <w:r w:rsidRPr="007A5BB2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при этом уменьшилась доля компаний, которые планируют увеличение своей численности (16%). В основном это банки и финансовые организации, компании из секторов электронной коммерции и повседневных товаров. Данные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HeadHunter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демонстрируют более динамичную ситуацию в сфере найма — увеличивать штат в 2019 году планируют 46% компаний (в прошлом году — 52%). Сокращения планируют 14% — на 4 п. п. ниже, чем в прошлом году.</w:t>
      </w:r>
    </w:p>
    <w:p w:rsidR="007A5BB2" w:rsidRPr="007A5BB2" w:rsidRDefault="007A5BB2" w:rsidP="007A5BB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Ожидаемое повышение зарплат в частном секторе вполне может влиять на ожидаемую к лету 2019 года правительственную дискуссию о повышении доли зарплат в ВВП — напомним, Минэкономики и Минтруду поручено обсудить вопрос о реалистичности увеличения этого показателя до 60% в ближайшем будущем (сейчас — 46,4%). Минэкономики и Минфин, напомним, планируют монотонное повышение темпов роста реальных располагаемых доходов и реальных зарплат до 2024 года — что при стабильно низкой инфляции, сокращении темпов роста кредита </w:t>
      </w:r>
      <w:proofErr w:type="spellStart"/>
      <w:r w:rsidRPr="007A5BB2">
        <w:rPr>
          <w:rFonts w:ascii="Arial" w:eastAsia="Times New Roman" w:hAnsi="Arial" w:cs="Arial"/>
          <w:color w:val="333333"/>
          <w:sz w:val="21"/>
          <w:szCs w:val="21"/>
        </w:rPr>
        <w:t>физлицам</w:t>
      </w:r>
      <w:proofErr w:type="spellEnd"/>
      <w:r w:rsidRPr="007A5BB2">
        <w:rPr>
          <w:rFonts w:ascii="Arial" w:eastAsia="Times New Roman" w:hAnsi="Arial" w:cs="Arial"/>
          <w:color w:val="333333"/>
          <w:sz w:val="21"/>
          <w:szCs w:val="21"/>
        </w:rPr>
        <w:t xml:space="preserve"> и ограниченном росте доступности ипотеки очень вероятно. Впрочем, ни принятый в РФ способ измерения доли зарплат, ни сама идеология этого показателя не позволяют адекватно оценивать благосостояние населения. Более эффективным инструментом с 2020 года станет многофакторная оценка бедности.</w:t>
      </w:r>
    </w:p>
    <w:p w:rsidR="00000000" w:rsidRDefault="007A5B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BB2"/>
    <w:rsid w:val="007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2019-05-21T04:30:00Z</dcterms:created>
  <dcterms:modified xsi:type="dcterms:W3CDTF">2019-05-21T04:31:00Z</dcterms:modified>
</cp:coreProperties>
</file>